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quarto-docx </w:t>
      </w:r>
      <w:r>
        <w:rPr>
          <w:rFonts w:hint="eastAsia"/>
        </w:rPr>
        <w:t xml:space="preserve">验收样例</w:t>
      </w:r>
    </w:p>
    <w:p>
      <w:pPr>
        <w:pStyle w:val="Subtitle"/>
      </w:pPr>
      <w:r>
        <w:rPr>
          <w:rFonts w:hint="eastAsia"/>
        </w:rPr>
        <w:t xml:space="preserve">交叉引用、题注拆壳、换行与表列宽</w:t>
      </w:r>
    </w:p>
    <w:p>
      <w:pPr>
        <w:pStyle w:val="FirstParagraph"/>
      </w:pPr>
      <w:r>
        <w:rPr>
          <w:rFonts w:hint="eastAsia"/>
        </w:rPr>
        <w:t xml:space="preserve">本页为</w:t>
      </w:r>
      <w:r>
        <w:t xml:space="preserve"> </w:t>
      </w:r>
      <w:hyperlink r:id="rId9">
        <w:r>
          <w:rPr>
            <w:rStyle w:val="VerbatimChar"/>
          </w:rPr>
          <w:t xml:space="preserve">scripts/quarto-docx</w:t>
        </w:r>
      </w:hyperlink>
      <w:r>
        <w:t xml:space="preserve"> </w:t>
      </w:r>
      <w:r>
        <w:rPr>
          <w:rFonts w:hint="eastAsia"/>
        </w:rPr>
        <w:t xml:space="preserve">资产的</w:t>
      </w:r>
      <w:r>
        <w:rPr>
          <w:rFonts w:hint="eastAsia"/>
          <w:b/>
          <w:bCs/>
        </w:rPr>
        <w:t xml:space="preserve">可再现验收样例</w:t>
      </w:r>
      <w:r>
        <w:rPr>
          <w:rFonts w:hint="eastAsia"/>
        </w:rPr>
        <w:t xml:space="preserve">，对应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长文验收清单</w:t>
        </w:r>
      </w:hyperlink>
      <w:r>
        <w:t xml:space="preserve">。</w:t>
      </w:r>
    </w:p>
    <w:bookmarkStart w:id="11" w:name="交叉引用tc-xref"/>
    <w:p>
      <w:pPr>
        <w:pStyle w:val="Heading2"/>
      </w:pPr>
      <w:r>
        <w:rPr>
          <w:rFonts w:hint="eastAsia"/>
        </w:rPr>
        <w:t xml:space="preserve">交叉引用（TC-XREF）</w:t>
      </w:r>
    </w:p>
    <w:p>
      <w:pPr>
        <w:pStyle w:val="FirstParagraph"/>
      </w:pPr>
      <w:r>
        <w:rPr>
          <w:rFonts w:hint="eastAsia"/>
        </w:rPr>
        <w:t xml:space="preserve">灌溉面积变化（见</w:t>
      </w:r>
      <w:r>
        <w:t xml:space="preserve"> </w:t>
      </w:r>
      <w:hyperlink w:anchor="fig-demo">
        <w:r>
          <w:rPr>
            <w:rStyle w:val="Hyperlink"/>
          </w:rPr>
          <w:t xml:space="preserve">Figure 1</w:t>
        </w:r>
      </w:hyperlink>
      <w:r>
        <w:t xml:space="preserve"> </w:t>
      </w:r>
      <w:r>
        <w:rPr>
          <w:rFonts w:hint="eastAsia"/>
        </w:rPr>
        <w:t xml:space="preserve">）。表</w:t>
      </w:r>
      <w:r>
        <w:t xml:space="preserve"> </w:t>
      </w:r>
      <w:hyperlink w:anchor="tbl-year">
        <w:r>
          <w:rPr>
            <w:rStyle w:val="Hyperlink"/>
          </w:rPr>
          <w:t xml:space="preserve">Table 1</w:t>
        </w:r>
      </w:hyperlink>
      <w:r>
        <w:t xml:space="preserve"> </w:t>
      </w:r>
      <w:r>
        <w:rPr>
          <w:rFonts w:hint="eastAsia"/>
        </w:rPr>
        <w:t xml:space="preserve">列出年份与数值。</w:t>
      </w:r>
    </w:p>
    <w:bookmarkEnd w:id="11"/>
    <w:bookmarkStart w:id="16" w:name="图题拆壳与双语换行tc-fig"/>
    <w:p>
      <w:pPr>
        <w:pStyle w:val="Heading2"/>
      </w:pPr>
      <w:r>
        <w:rPr>
          <w:rFonts w:hint="eastAsia"/>
        </w:rPr>
        <w:t xml:space="preserve">图题拆壳与双语换行（TC-FIG）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" w:name="fig-demo"/>
          <w:p>
            <w:pPr>
              <w:pStyle w:val="Compact"/>
              <w:jc w:val="center"/>
            </w:pPr>
            <w:r>
              <w:drawing>
                <wp:inline>
                  <wp:extent cx="1524000" cy="10160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../assets/demo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1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</w:t>
            </w:r>
            <w:r>
              <w:rPr>
                <w:rFonts w:hint="eastAsia"/>
              </w:rPr>
              <w:t xml:space="preserve">旱区作物分布示意</w:t>
            </w:r>
            <w:r>
              <w:t xml:space="preserve">Figure 2-1 Illustrative crop distribution</w:t>
            </w:r>
          </w:p>
          <w:bookmarkEnd w:id="15"/>
        </w:tc>
      </w:tr>
    </w:tbl>
    <w:bookmarkEnd w:id="16"/>
    <w:bookmarkStart w:id="18" w:name="表题拆壳与列宽tc-tbl"/>
    <w:p>
      <w:pPr>
        <w:pStyle w:val="Heading2"/>
      </w:pPr>
      <w:r>
        <w:rPr>
          <w:rFonts w:hint="eastAsia"/>
        </w:rPr>
        <w:t xml:space="preserve">表题拆壳与列宽（TC-TBL）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" w:name="tbl-yea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</w:t>
            </w:r>
            <w:r>
              <w:rPr>
                <w:rFonts w:hint="eastAsia"/>
              </w:rPr>
              <w:t xml:space="preserve">旱区灌溉面积示例</w:t>
            </w:r>
            <w:r>
              <w:t xml:space="preserve">Table 2-1 Illustrative irrigation area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Fonts w:hint="eastAsia"/>
                    </w:rPr>
                    <w:t xml:space="preserve">年份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rPr>
                      <w:rFonts w:hint="eastAsia"/>
                    </w:rPr>
                    <w:t xml:space="preserve">数值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2023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2024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120</w:t>
                  </w:r>
                </w:p>
              </w:tc>
            </w:tr>
          </w:tbl>
          <w:bookmarkEnd w:id="17"/>
          <w:p/>
        </w:tc>
      </w:tr>
    </w:tbl>
    <w:bookmarkEnd w:id="18"/>
    <w:bookmarkStart w:id="22" w:name="callout-不应被误拆tc-callout"/>
    <w:p>
      <w:pPr>
        <w:pStyle w:val="Heading2"/>
      </w:pPr>
      <w:r>
        <w:t xml:space="preserve">Callout </w:t>
      </w:r>
      <w:r>
        <w:rPr>
          <w:rFonts w:hint="eastAsia"/>
        </w:rPr>
        <w:t xml:space="preserve">不应被误拆（TC-CALLOUT）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专栏标题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rFonts w:hint="eastAsia"/>
              </w:rPr>
              <w:t xml:space="preserve">此</w:t>
            </w:r>
            <w:r>
              <w:t xml:space="preserve"> callout </w:t>
            </w:r>
            <w:r>
              <w:rPr>
                <w:rFonts w:hint="eastAsia"/>
              </w:rPr>
              <w:t xml:space="preserve">为</w:t>
            </w:r>
            <w:r>
              <w:t xml:space="preserve"> 1 </w:t>
            </w:r>
            <w:r>
              <w:rPr>
                <w:rFonts w:hint="eastAsia"/>
              </w:rPr>
              <w:t xml:space="preserve">列表、无「表N-」题注，caption</w:t>
            </w:r>
            <w:r>
              <w:t xml:space="preserve"> </w:t>
            </w:r>
            <w:r>
              <w:rPr>
                <w:rFonts w:hint="eastAsia"/>
              </w:rPr>
              <w:t xml:space="preserve">滤镜应跳过。</w:t>
            </w:r>
          </w:p>
          <w:p/>
        </w:tc>
      </w:tr>
    </w:tbl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hyperlink" Id="rId10" Target="../../../docs/quarto-docx-chinese-book.qmd#sec-acceptance" TargetMode="External" /><Relationship Type="http://schemas.openxmlformats.org/officeDocument/2006/relationships/hyperlink" Id="rId9" Target="../../index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../../../docs/quarto-docx-chinese-book.qmd#sec-acceptance" TargetMode="External" /><Relationship Type="http://schemas.openxmlformats.org/officeDocument/2006/relationships/hyperlink" Id="rId9" Target="../../index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quarto-docx 验收样例</dc:title>
  <dc:creator/>
  <cp:keywords/>
  <dcterms:created xsi:type="dcterms:W3CDTF">2026-10-28T09:37:22Z</dcterms:created>
  <dcterms:modified xsi:type="dcterms:W3CDTF">2026-10-28T09:37:22Z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subtitle">
    <vt:lpwstr>交叉引用、题注拆壳、换行与表列宽</vt:lpwstr>
  </property>
  <property fmtid="{D5CDD505-2E9C-101B-9397-08002B2CF9AE}" pid="8" name="toc-title">
    <vt:lpwstr>Table of contents</vt:lpwstr>
  </property>
</Properties>
</file>